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60B" w:rsidRDefault="00C41B32" w:rsidP="00C41B32">
      <w:pPr>
        <w:jc w:val="center"/>
        <w:rPr>
          <w:rFonts w:ascii="Arial" w:hAnsi="Arial" w:cs="Arial"/>
          <w:b/>
          <w:sz w:val="32"/>
          <w:szCs w:val="32"/>
        </w:rPr>
      </w:pPr>
      <w:r w:rsidRPr="00C41B32">
        <w:rPr>
          <w:rFonts w:ascii="Arial" w:hAnsi="Arial" w:cs="Arial"/>
          <w:b/>
          <w:sz w:val="32"/>
          <w:szCs w:val="32"/>
        </w:rPr>
        <w:t>POKYNY PRO VYPLNĚNÍ</w:t>
      </w:r>
    </w:p>
    <w:p w:rsidR="00C41B32" w:rsidRDefault="00C41B32" w:rsidP="00C41B32">
      <w:pPr>
        <w:jc w:val="center"/>
        <w:rPr>
          <w:rFonts w:ascii="Arial" w:hAnsi="Arial" w:cs="Arial"/>
          <w:b/>
          <w:sz w:val="32"/>
          <w:szCs w:val="32"/>
        </w:rPr>
      </w:pPr>
    </w:p>
    <w:p w:rsidR="00C41B32" w:rsidRDefault="00C41B32" w:rsidP="00C41B32">
      <w:pPr>
        <w:numPr>
          <w:ilvl w:val="0"/>
          <w:numId w:val="1"/>
        </w:numPr>
        <w:spacing w:line="252" w:lineRule="auto"/>
        <w:contextualSpacing/>
        <w:rPr>
          <w:rFonts w:ascii="Tahoma" w:eastAsia="Times New Roman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</w:rPr>
        <w:t>Položky oddílu „2) Ostatní náklady ze souhrnného listu“ v listu „rekapitulace stavby“ uchazeč nevyplňuje</w:t>
      </w:r>
    </w:p>
    <w:p w:rsidR="00C41B32" w:rsidRDefault="00C41B32" w:rsidP="00C41B32">
      <w:pPr>
        <w:spacing w:line="252" w:lineRule="auto"/>
        <w:ind w:left="720"/>
        <w:contextualSpacing/>
        <w:rPr>
          <w:rFonts w:ascii="Tahoma" w:eastAsia="Times New Roman" w:hAnsi="Tahoma" w:cs="Tahoma"/>
          <w:sz w:val="21"/>
          <w:szCs w:val="21"/>
        </w:rPr>
      </w:pPr>
      <w:bookmarkStart w:id="0" w:name="_GoBack"/>
      <w:bookmarkEnd w:id="0"/>
    </w:p>
    <w:p w:rsidR="00C41B32" w:rsidRDefault="00C41B32" w:rsidP="00C41B32">
      <w:pPr>
        <w:numPr>
          <w:ilvl w:val="0"/>
          <w:numId w:val="1"/>
        </w:numPr>
        <w:spacing w:line="252" w:lineRule="auto"/>
        <w:contextualSpacing/>
        <w:rPr>
          <w:rFonts w:ascii="Tahoma" w:eastAsia="Times New Roman" w:hAnsi="Tahoma" w:cs="Tahoma"/>
          <w:sz w:val="21"/>
          <w:szCs w:val="21"/>
        </w:rPr>
      </w:pPr>
      <w:r>
        <w:rPr>
          <w:rFonts w:ascii="Tahoma" w:eastAsia="Times New Roman" w:hAnsi="Tahoma" w:cs="Tahoma"/>
          <w:sz w:val="21"/>
          <w:szCs w:val="21"/>
        </w:rPr>
        <w:t>Položky oddílu „2) Ostatní náklady“ v „rekapitulaci rozpočtu“ v listu „1 – stavební úpravy“ uchazeč nevyplňuje, vyjma poslední položky tohoto oddílu - kompletační činnost</w:t>
      </w:r>
    </w:p>
    <w:p w:rsidR="00C41B32" w:rsidRPr="00C41B32" w:rsidRDefault="00C41B32" w:rsidP="00C41B32">
      <w:pPr>
        <w:rPr>
          <w:rFonts w:ascii="Arial" w:hAnsi="Arial" w:cs="Arial"/>
          <w:b/>
          <w:sz w:val="32"/>
          <w:szCs w:val="32"/>
        </w:rPr>
      </w:pPr>
    </w:p>
    <w:sectPr w:rsidR="00C41B32" w:rsidRPr="00C41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B0DEE"/>
    <w:multiLevelType w:val="hybridMultilevel"/>
    <w:tmpl w:val="1DEE79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32"/>
    <w:rsid w:val="006E260B"/>
    <w:rsid w:val="00C4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F317D-4E78-4557-BDF3-6BB39D1C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Tomáš Večeřa</cp:lastModifiedBy>
  <cp:revision>1</cp:revision>
  <dcterms:created xsi:type="dcterms:W3CDTF">2018-05-10T08:31:00Z</dcterms:created>
  <dcterms:modified xsi:type="dcterms:W3CDTF">2018-05-10T08:33:00Z</dcterms:modified>
</cp:coreProperties>
</file>